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6FCD4E80"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627AC7">
        <w:rPr>
          <w:rFonts w:ascii="Times New Roman" w:hAnsi="Times New Roman" w:cs="Times New Roman"/>
          <w:sz w:val="24"/>
          <w:szCs w:val="24"/>
        </w:rPr>
        <w:t>0</w:t>
      </w:r>
      <w:r w:rsidR="005E749C">
        <w:rPr>
          <w:rFonts w:ascii="Times New Roman" w:hAnsi="Times New Roman" w:cs="Times New Roman"/>
          <w:sz w:val="24"/>
          <w:szCs w:val="24"/>
        </w:rPr>
        <w:t>6</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62AE3E9E"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F165E1">
        <w:rPr>
          <w:rFonts w:ascii="Times New Roman" w:hAnsi="Times New Roman" w:cs="Times New Roman"/>
          <w:b/>
          <w:bCs/>
          <w:sz w:val="24"/>
          <w:szCs w:val="24"/>
        </w:rPr>
        <w:t>0</w:t>
      </w:r>
      <w:r w:rsidR="005E749C">
        <w:rPr>
          <w:rFonts w:ascii="Times New Roman" w:hAnsi="Times New Roman" w:cs="Times New Roman"/>
          <w:b/>
          <w:bCs/>
          <w:sz w:val="24"/>
          <w:szCs w:val="24"/>
        </w:rPr>
        <w:t>6</w:t>
      </w:r>
      <w:r w:rsidR="00BF4588" w:rsidRPr="00D455E0">
        <w:rPr>
          <w:rFonts w:ascii="Times New Roman" w:hAnsi="Times New Roman" w:cs="Times New Roman"/>
          <w:b/>
          <w:bCs/>
          <w:sz w:val="24"/>
          <w:szCs w:val="24"/>
        </w:rPr>
        <w:t>/</w:t>
      </w:r>
      <w:r w:rsidR="00F01B53">
        <w:rPr>
          <w:rFonts w:ascii="Times New Roman" w:hAnsi="Times New Roman" w:cs="Times New Roman"/>
          <w:b/>
          <w:bCs/>
          <w:sz w:val="24"/>
          <w:szCs w:val="24"/>
        </w:rPr>
        <w:t>4</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025CB3AC"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r w:rsidR="00F165E1">
        <w:rPr>
          <w:color w:val="auto"/>
        </w:rPr>
        <w:t xml:space="preserve">Fiber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66E3EEEA" w14:textId="77777777" w:rsidR="00F01B53" w:rsidRDefault="00F01B53" w:rsidP="00F01B5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zwraca się z uprzejmą prośbą o przedstawienie oferty cenowej na </w:t>
      </w:r>
      <w:bookmarkStart w:id="1" w:name="_Hlk109210931"/>
      <w:r>
        <w:rPr>
          <w:rFonts w:ascii="Times New Roman" w:hAnsi="Times New Roman" w:cs="Times New Roman"/>
          <w:sz w:val="24"/>
          <w:szCs w:val="24"/>
        </w:rPr>
        <w:t xml:space="preserve">długoterminowy wynajem specjalistycznej aparatura naukowo-badawczej do pomiaru parametrów włókien specjalnych w ramach projektu </w:t>
      </w:r>
      <w:r>
        <w:rPr>
          <w:rFonts w:ascii="Times New Roman" w:eastAsia="Times New Roman" w:hAnsi="Times New Roman" w:cs="Times New Roman"/>
          <w:b/>
          <w:bCs/>
          <w:sz w:val="24"/>
          <w:szCs w:val="24"/>
        </w:rPr>
        <w:t>„</w:t>
      </w:r>
      <w:r>
        <w:rPr>
          <w:rFonts w:ascii="Times New Roman" w:hAnsi="Times New Roman" w:cs="Times New Roman"/>
          <w:b/>
          <w:bCs/>
          <w:color w:val="333333"/>
          <w:sz w:val="24"/>
          <w:szCs w:val="24"/>
        </w:rPr>
        <w:t>ONTARIO - Innowacyjna technologia wytwarzania światłowodów specjalnych</w:t>
      </w:r>
      <w:r>
        <w:rPr>
          <w:rFonts w:ascii="Times New Roman" w:hAnsi="Times New Roman" w:cs="Times New Roman"/>
          <w:sz w:val="24"/>
          <w:szCs w:val="24"/>
        </w:rPr>
        <w:t>”</w:t>
      </w:r>
      <w:bookmarkEnd w:id="1"/>
      <w:r>
        <w:rPr>
          <w:rFonts w:ascii="Times New Roman" w:hAnsi="Times New Roman" w:cs="Times New Roman"/>
          <w:sz w:val="24"/>
          <w:szCs w:val="24"/>
        </w:rPr>
        <w:t>. Zamówienie będzie realizowane w ramach działania 1.1 Programu Operacyjnego Inteligentny Rozwój na lata 2014-2020</w:t>
      </w:r>
    </w:p>
    <w:p w14:paraId="5A68E078" w14:textId="77777777" w:rsidR="003B1F74" w:rsidRPr="00D455E0" w:rsidRDefault="003B1F74"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odwołań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4EE563D2" w14:textId="00ED7863" w:rsidR="00F01B53" w:rsidRDefault="00F01B53" w:rsidP="00F01B53">
      <w:pPr>
        <w:spacing w:after="0" w:line="276" w:lineRule="auto"/>
        <w:rPr>
          <w:rFonts w:ascii="Times New Roman" w:hAnsi="Times New Roman" w:cs="Times New Roman"/>
          <w:sz w:val="24"/>
          <w:szCs w:val="24"/>
        </w:rPr>
      </w:pPr>
      <w:r>
        <w:rPr>
          <w:rFonts w:ascii="Times New Roman" w:hAnsi="Times New Roman" w:cs="Times New Roman"/>
          <w:sz w:val="24"/>
          <w:szCs w:val="24"/>
        </w:rPr>
        <w:t>Przedmiotem zamówienia jest długoterminowy wynajem specjalistycznej aparatury naukowo-badawczej do pomiaru parametrów włókien specjalnych. Oferowana aparatura musi stanowić w pełni funkcjonalny, samowystarczalny moduł do przeprowadzenia wszystkich niezbędnych procesów. Zamawiający nie dopuszcza częściowej realizacji przedmiotu zamówienia, aparatura musi być kompletna i zapewniać wszystkie funkcjonalności określone w poniżej.</w:t>
      </w:r>
    </w:p>
    <w:p w14:paraId="45AEC4A2" w14:textId="77777777" w:rsidR="007A6FAA" w:rsidRPr="00D455E0" w:rsidRDefault="007A6FAA"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2FF5E0C8" w14:textId="77777777" w:rsidR="00F01B53" w:rsidRDefault="00F01B53" w:rsidP="00F01B53">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Moduł powinien umożliwiać pomiary i charakteryzację światłowodów specjalnych, w tym w szczególności mikrostrukturalnych i wielordzeniowych.</w:t>
      </w:r>
    </w:p>
    <w:p w14:paraId="0EC1022F" w14:textId="77777777" w:rsidR="003B1F74" w:rsidRDefault="003B1F74" w:rsidP="007A6FAA">
      <w:pPr>
        <w:spacing w:after="0" w:line="276" w:lineRule="auto"/>
        <w:rPr>
          <w:rFonts w:ascii="Times New Roman" w:hAnsi="Times New Roman" w:cs="Times New Roman"/>
          <w:sz w:val="24"/>
          <w:szCs w:val="24"/>
          <w:lang w:eastAsia="pl-PL"/>
        </w:rPr>
      </w:pPr>
    </w:p>
    <w:p w14:paraId="269C9491" w14:textId="4DCDF79D" w:rsidR="007A6FAA" w:rsidRPr="007A6FAA" w:rsidRDefault="007A6FAA" w:rsidP="007A6FAA">
      <w:pPr>
        <w:spacing w:after="0" w:line="276" w:lineRule="auto"/>
        <w:rPr>
          <w:rFonts w:ascii="Times New Roman" w:hAnsi="Times New Roman" w:cs="Times New Roman"/>
          <w:sz w:val="24"/>
          <w:szCs w:val="24"/>
          <w:lang w:eastAsia="pl-PL"/>
        </w:rPr>
      </w:pPr>
      <w:r w:rsidRPr="007A6FAA">
        <w:rPr>
          <w:rFonts w:ascii="Times New Roman" w:hAnsi="Times New Roman" w:cs="Times New Roman"/>
          <w:sz w:val="24"/>
          <w:szCs w:val="24"/>
          <w:lang w:eastAsia="pl-PL"/>
        </w:rPr>
        <w:t>Wymagane główne funkcjonalności są następujące:</w:t>
      </w:r>
    </w:p>
    <w:p w14:paraId="26EB56F5" w14:textId="77777777" w:rsidR="00F01B53" w:rsidRDefault="00F01B53" w:rsidP="00F01B53">
      <w:pPr>
        <w:rPr>
          <w:rFonts w:ascii="Times New Roman" w:hAnsi="Times New Roman" w:cs="Times New Roman"/>
          <w:sz w:val="24"/>
          <w:szCs w:val="24"/>
          <w:lang w:eastAsia="pl-PL"/>
        </w:rPr>
      </w:pPr>
      <w:r>
        <w:rPr>
          <w:rFonts w:ascii="Times New Roman" w:hAnsi="Times New Roman" w:cs="Times New Roman"/>
          <w:sz w:val="24"/>
          <w:szCs w:val="24"/>
          <w:lang w:eastAsia="pl-PL"/>
        </w:rPr>
        <w:t>1. możliwość charakteryzacji szerokospektralnej (w zakresie długości fali 400-2400 nm) światłowodów specjalnych i specjalnych elementów światłowodowych m.in. poprzez: pomiar tłumienności, strat zgięciowych oraz przesłuchów między rdzeniami w światłowodach wielordzeniowych z dynamiką pomiaru do co najmniej -50dB, pomiar kontrastu interferometrów, charakteryzacji filtrów optycznych oraz pików absorpcyjnych światłowodów specjalnych w zakresie UV-NIR z rozdzielczością spektralną 50pm i dynamiką pomiaru 70dB,  oraz podział dzielników mocy optycznej (dla mocy z zakresu min. od 1</w:t>
      </w:r>
      <w:bookmarkStart w:id="2" w:name="_Hlk111631333"/>
      <w:r>
        <w:rPr>
          <w:rFonts w:ascii="Times New Roman" w:hAnsi="Times New Roman" w:cs="Times New Roman"/>
          <w:sz w:val="24"/>
          <w:szCs w:val="24"/>
          <w:lang w:eastAsia="pl-PL"/>
        </w:rPr>
        <w:t>μ</w:t>
      </w:r>
      <w:bookmarkEnd w:id="2"/>
      <w:r>
        <w:rPr>
          <w:rFonts w:ascii="Times New Roman" w:hAnsi="Times New Roman" w:cs="Times New Roman"/>
          <w:sz w:val="24"/>
          <w:szCs w:val="24"/>
          <w:lang w:eastAsia="pl-PL"/>
        </w:rPr>
        <w:t>W do 1W), moc źródła w określonym zakresie spektralnym – co najmniej 30 mW</w:t>
      </w:r>
    </w:p>
    <w:p w14:paraId="2D73BA8A" w14:textId="77777777" w:rsidR="00F01B53" w:rsidRDefault="00F01B53" w:rsidP="00F01B53">
      <w:p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bookmarkStart w:id="3" w:name="_Hlk103171291"/>
      <w:r>
        <w:rPr>
          <w:rFonts w:ascii="Times New Roman" w:hAnsi="Times New Roman" w:cs="Times New Roman"/>
          <w:sz w:val="24"/>
          <w:szCs w:val="24"/>
          <w:lang w:eastAsia="pl-PL"/>
        </w:rPr>
        <w:t>możliwość wąskospektralnej (szerokość spektralna &lt;1pm) charakteryzacji światłowodów i komponentów światłowodowych dla zakresu długości fali 1260-1680nm z wykorzystaniem multipleksacji przestrzennej sygnału optycznego (min. 4 kanały wyjściowe),</w:t>
      </w:r>
    </w:p>
    <w:bookmarkEnd w:id="3"/>
    <w:p w14:paraId="4BC80930" w14:textId="77777777" w:rsidR="00F01B53" w:rsidRDefault="00F01B53" w:rsidP="00F01B53">
      <w:pPr>
        <w:rPr>
          <w:rFonts w:ascii="Times New Roman" w:hAnsi="Times New Roman" w:cs="Times New Roman"/>
          <w:sz w:val="24"/>
          <w:szCs w:val="24"/>
          <w:lang w:eastAsia="pl-PL"/>
        </w:rPr>
      </w:pPr>
      <w:r>
        <w:rPr>
          <w:rFonts w:ascii="Times New Roman" w:hAnsi="Times New Roman" w:cs="Times New Roman"/>
          <w:sz w:val="24"/>
          <w:szCs w:val="24"/>
          <w:lang w:eastAsia="pl-PL"/>
        </w:rPr>
        <w:t>3. możliwość zdalnego wykonywania pomiarów (m.in przeprowadzania długoterminowych, częściowo zautomatyzowanych testów, zdalne sterowanie układem źródeł szerokopasmowych)</w:t>
      </w:r>
    </w:p>
    <w:p w14:paraId="54155419" w14:textId="77777777" w:rsidR="00F01B53" w:rsidRDefault="00F01B53" w:rsidP="00F01B53">
      <w:pPr>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możliwość wąskospektralnej (szerokość spektralna w zakresie od 500 pm do 5 nm)  charakteryzacji światłowodów oraz komponentów światłowodowych i materiałów optycznych  z możliwością przestrajania wiązki w zakresie od 430nm do 1140 nm i możliwością multipleksacji optycznej w dziedzinie długości fali (do 8 długości fali). </w:t>
      </w:r>
    </w:p>
    <w:p w14:paraId="51481EDE" w14:textId="77777777" w:rsidR="00F01B53" w:rsidRDefault="00F01B53" w:rsidP="00F01B53">
      <w:pPr>
        <w:rPr>
          <w:rFonts w:ascii="Times New Roman" w:hAnsi="Times New Roman" w:cs="Times New Roman"/>
          <w:sz w:val="24"/>
          <w:szCs w:val="24"/>
          <w:lang w:eastAsia="pl-PL"/>
        </w:rPr>
      </w:pPr>
      <w:r>
        <w:rPr>
          <w:rFonts w:ascii="Times New Roman" w:hAnsi="Times New Roman" w:cs="Times New Roman"/>
          <w:sz w:val="24"/>
          <w:szCs w:val="24"/>
          <w:lang w:eastAsia="pl-PL"/>
        </w:rPr>
        <w:t>5. możliwość analizy danych pomiarowych (np. wyznaczanie parametrów statystyki opisowej, rozkłady częstości, testowanie hipotez, analiza wariancji ANOVA, liniowe i nieliniowe procedury dopasowania krzywych) oraz wizualizacji danych poprzez m.in. tworzenie wykresów (2D i 3D).</w:t>
      </w:r>
    </w:p>
    <w:p w14:paraId="56D5180B" w14:textId="77777777" w:rsidR="00F01B53" w:rsidRDefault="00F01B53" w:rsidP="00F01B53">
      <w:pPr>
        <w:rPr>
          <w:rFonts w:ascii="Times New Roman" w:hAnsi="Times New Roman" w:cs="Times New Roman"/>
          <w:sz w:val="24"/>
          <w:szCs w:val="24"/>
          <w:lang w:eastAsia="pl-PL"/>
        </w:rPr>
      </w:pPr>
      <w:r>
        <w:rPr>
          <w:rFonts w:ascii="Times New Roman" w:hAnsi="Times New Roman" w:cs="Times New Roman"/>
          <w:sz w:val="24"/>
          <w:szCs w:val="24"/>
          <w:lang w:eastAsia="pl-PL"/>
        </w:rPr>
        <w:t>6. możliwość pomiaru gołych włókien światłowodowych (średnice włókien od 80 do 240 μm).</w:t>
      </w:r>
    </w:p>
    <w:p w14:paraId="48083F54" w14:textId="77777777" w:rsidR="00F01B53" w:rsidRDefault="00F01B53" w:rsidP="00F01B5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eastAsia="pl-PL"/>
        </w:rPr>
        <w:t>7. pomiar apertury numerycznej z wykorzystaniem zintegrowanego źródła światła.</w:t>
      </w:r>
    </w:p>
    <w:p w14:paraId="18927A2C" w14:textId="77777777" w:rsidR="003B1F74" w:rsidRPr="003B1F74" w:rsidRDefault="003B1F74" w:rsidP="003B1F74">
      <w:pPr>
        <w:spacing w:after="0" w:line="276" w:lineRule="auto"/>
        <w:rPr>
          <w:rFonts w:ascii="Times New Roman" w:hAnsi="Times New Roman" w:cs="Times New Roman"/>
          <w:sz w:val="24"/>
          <w:szCs w:val="24"/>
          <w:lang w:eastAsia="pl-PL"/>
        </w:rPr>
      </w:pPr>
    </w:p>
    <w:p w14:paraId="08ACD988" w14:textId="77777777" w:rsidR="005E749C" w:rsidRPr="00D455E0" w:rsidRDefault="005E749C"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r w:rsidRPr="00D455E0">
              <w:rPr>
                <w:rStyle w:val="bold"/>
                <w:rFonts w:eastAsiaTheme="majorEastAsia"/>
                <w:sz w:val="24"/>
                <w:szCs w:val="24"/>
              </w:rPr>
              <w:t>Wspólny Słownik Zamówień:</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r w:rsidRPr="00D455E0">
              <w:rPr>
                <w:sz w:val="24"/>
                <w:szCs w:val="24"/>
              </w:rPr>
              <w:t>Numer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r w:rsidRPr="00D455E0">
              <w:rPr>
                <w:sz w:val="24"/>
                <w:szCs w:val="24"/>
              </w:rPr>
              <w:t>Opis</w:t>
            </w:r>
          </w:p>
        </w:tc>
      </w:tr>
      <w:tr w:rsidR="00850A60" w:rsidRPr="00D455E0" w14:paraId="1983FEE5" w14:textId="77777777" w:rsidTr="00E549D5">
        <w:trPr>
          <w:trHeight w:val="352"/>
        </w:trPr>
        <w:tc>
          <w:tcPr>
            <w:tcW w:w="2614" w:type="dxa"/>
            <w:vAlign w:val="center"/>
          </w:tcPr>
          <w:p w14:paraId="6C8CD3E4" w14:textId="351F185B" w:rsidR="00850A60" w:rsidRPr="00D455E0" w:rsidRDefault="005E749C" w:rsidP="00953438">
            <w:pPr>
              <w:spacing w:after="0" w:line="276" w:lineRule="auto"/>
              <w:rPr>
                <w:sz w:val="24"/>
                <w:szCs w:val="24"/>
              </w:rPr>
            </w:pPr>
            <w:r w:rsidRPr="005E749C">
              <w:rPr>
                <w:sz w:val="24"/>
                <w:szCs w:val="24"/>
              </w:rPr>
              <w:t>38540000-2</w:t>
            </w:r>
          </w:p>
        </w:tc>
        <w:tc>
          <w:tcPr>
            <w:tcW w:w="6599" w:type="dxa"/>
            <w:vAlign w:val="center"/>
          </w:tcPr>
          <w:p w14:paraId="71A9C8A9" w14:textId="6C6271F3" w:rsidR="00850A60" w:rsidRPr="00D455E0" w:rsidRDefault="005E749C" w:rsidP="00953438">
            <w:pPr>
              <w:spacing w:after="0" w:line="276" w:lineRule="auto"/>
              <w:rPr>
                <w:sz w:val="24"/>
                <w:szCs w:val="24"/>
                <w:lang w:val="pl-PL"/>
              </w:rPr>
            </w:pPr>
            <w:r w:rsidRPr="005E749C">
              <w:rPr>
                <w:sz w:val="24"/>
                <w:szCs w:val="24"/>
                <w:lang w:val="pl-PL"/>
              </w:rPr>
              <w:t>Maszyny i aparatura badawcza i pomiarowa</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59E34F91" w:rsidR="00F063E6" w:rsidRPr="00D455E0" w:rsidRDefault="00F01B53"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4E017569" w:rsidR="00F063E6" w:rsidRPr="00D455E0" w:rsidRDefault="005E749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3B1F74">
              <w:rPr>
                <w:rFonts w:ascii="Times New Roman" w:hAnsi="Times New Roman" w:cs="Times New Roman"/>
                <w:b/>
                <w:bCs/>
                <w:sz w:val="24"/>
                <w:szCs w:val="24"/>
              </w:rPr>
              <w:t>3</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3E8DA8E" w14:textId="0BE18E5B" w:rsidR="00F01B53" w:rsidRPr="00AF10F9" w:rsidRDefault="00F01B53" w:rsidP="00F01B53">
            <w:pPr>
              <w:rPr>
                <w:szCs w:val="20"/>
                <w:lang w:eastAsia="pl-PL"/>
              </w:rPr>
            </w:pPr>
            <w:r>
              <w:rPr>
                <w:szCs w:val="20"/>
                <w:lang w:eastAsia="pl-PL"/>
              </w:rPr>
              <w:t>W</w:t>
            </w:r>
            <w:r w:rsidRPr="00AF10F9">
              <w:rPr>
                <w:szCs w:val="20"/>
                <w:lang w:eastAsia="pl-PL"/>
              </w:rPr>
              <w:t xml:space="preserve"> wymiarze </w:t>
            </w:r>
            <w:r>
              <w:rPr>
                <w:szCs w:val="20"/>
                <w:lang w:eastAsia="pl-PL"/>
              </w:rPr>
              <w:t>85</w:t>
            </w:r>
            <w:r w:rsidRPr="00AF10F9">
              <w:rPr>
                <w:szCs w:val="20"/>
                <w:lang w:eastAsia="pl-PL"/>
              </w:rPr>
              <w:t xml:space="preserve">h na miesiąc przez okres </w:t>
            </w:r>
            <w:r>
              <w:rPr>
                <w:szCs w:val="20"/>
                <w:lang w:eastAsia="pl-PL"/>
              </w:rPr>
              <w:t>pierwszych 10</w:t>
            </w:r>
            <w:r w:rsidRPr="00AF10F9">
              <w:rPr>
                <w:szCs w:val="20"/>
                <w:lang w:eastAsia="pl-PL"/>
              </w:rPr>
              <w:t xml:space="preserve"> miesięcy </w:t>
            </w:r>
            <w:r>
              <w:rPr>
                <w:szCs w:val="20"/>
                <w:lang w:eastAsia="pl-PL"/>
              </w:rPr>
              <w:t>(</w:t>
            </w:r>
            <w:r w:rsidRPr="00AF10F9">
              <w:rPr>
                <w:szCs w:val="20"/>
                <w:lang w:eastAsia="pl-PL"/>
              </w:rPr>
              <w:t>etap 3 projektu</w:t>
            </w:r>
            <w:r>
              <w:rPr>
                <w:szCs w:val="20"/>
                <w:lang w:eastAsia="pl-PL"/>
              </w:rPr>
              <w:t xml:space="preserve">) </w:t>
            </w:r>
            <w:r w:rsidRPr="008C35C2">
              <w:rPr>
                <w:szCs w:val="20"/>
                <w:lang w:eastAsia="pl-PL"/>
              </w:rPr>
              <w:t xml:space="preserve">oraz </w:t>
            </w:r>
            <w:r>
              <w:rPr>
                <w:szCs w:val="20"/>
                <w:lang w:eastAsia="pl-PL"/>
              </w:rPr>
              <w:t>50</w:t>
            </w:r>
            <w:r w:rsidRPr="008C35C2">
              <w:rPr>
                <w:szCs w:val="20"/>
                <w:lang w:eastAsia="pl-PL"/>
              </w:rPr>
              <w:t xml:space="preserve">h/miesiąc przez </w:t>
            </w:r>
            <w:r>
              <w:rPr>
                <w:szCs w:val="20"/>
                <w:lang w:eastAsia="pl-PL"/>
              </w:rPr>
              <w:t>kolejne trzy miesiące (</w:t>
            </w:r>
            <w:r w:rsidRPr="008C35C2">
              <w:rPr>
                <w:szCs w:val="20"/>
                <w:lang w:eastAsia="pl-PL"/>
              </w:rPr>
              <w:t>etap 4</w:t>
            </w:r>
            <w:r>
              <w:rPr>
                <w:szCs w:val="20"/>
                <w:lang w:eastAsia="pl-PL"/>
              </w:rPr>
              <w:t xml:space="preserve"> projektu). </w:t>
            </w:r>
          </w:p>
          <w:p w14:paraId="61BD1CAB" w14:textId="5209E340" w:rsidR="00F063E6" w:rsidRPr="00D455E0" w:rsidRDefault="00F063E6" w:rsidP="003B1F74">
            <w:pPr>
              <w:rPr>
                <w:rFonts w:ascii="Times New Roman" w:hAnsi="Times New Roman" w:cs="Times New Roman"/>
                <w:sz w:val="24"/>
                <w:szCs w:val="24"/>
                <w:lang w:eastAsia="pl-PL"/>
              </w:rPr>
            </w:pP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4" w:name="_Hlk113954100"/>
      <w:r w:rsidRPr="00D455E0">
        <w:rPr>
          <w:rFonts w:ascii="Times New Roman" w:hAnsi="Times New Roman" w:cs="Times New Roman"/>
          <w:sz w:val="24"/>
          <w:szCs w:val="24"/>
        </w:rPr>
        <w:t>(zmiany powyżej szacowanego progu będą uzgadniane z Wykonawcą).</w:t>
      </w:r>
      <w:bookmarkEnd w:id="4"/>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lastRenderedPageBreak/>
        <w:t xml:space="preserve">znajdują się w sytuacji finansowej i ekonomicznej zapewniającej prawidłowe i terminowe wykonanie zamówienia [weryfikowane na podstawie </w:t>
      </w:r>
      <w:bookmarkStart w:id="5"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5"/>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lastRenderedPageBreak/>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lastRenderedPageBreak/>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4DF03BD2"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2110A2">
        <w:rPr>
          <w:rFonts w:ascii="Times New Roman" w:eastAsia="Calibri" w:hAnsi="Times New Roman" w:cs="Times New Roman"/>
          <w:kern w:val="3"/>
          <w:sz w:val="24"/>
          <w:szCs w:val="24"/>
          <w:u w:color="000000"/>
          <w:bdr w:val="nil"/>
          <w:lang w:eastAsia="pl-PL"/>
        </w:rPr>
        <w:t>0</w:t>
      </w:r>
      <w:r w:rsidR="00851FB1">
        <w:rPr>
          <w:rFonts w:ascii="Times New Roman" w:eastAsia="Calibri" w:hAnsi="Times New Roman" w:cs="Times New Roman"/>
          <w:kern w:val="3"/>
          <w:sz w:val="24"/>
          <w:szCs w:val="24"/>
          <w:u w:color="000000"/>
          <w:bdr w:val="nil"/>
          <w:lang w:eastAsia="pl-PL"/>
        </w:rPr>
        <w:t>8</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2AEEB837"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2110A2">
        <w:rPr>
          <w:rFonts w:ascii="Times New Roman" w:hAnsi="Times New Roman" w:cs="Times New Roman"/>
          <w:b/>
          <w:bCs/>
          <w:sz w:val="24"/>
          <w:szCs w:val="24"/>
        </w:rPr>
        <w:t>0</w:t>
      </w:r>
      <w:r w:rsidR="005E749C">
        <w:rPr>
          <w:rFonts w:ascii="Times New Roman" w:hAnsi="Times New Roman" w:cs="Times New Roman"/>
          <w:b/>
          <w:bCs/>
          <w:sz w:val="24"/>
          <w:szCs w:val="24"/>
        </w:rPr>
        <w:t>6</w:t>
      </w:r>
      <w:r w:rsidR="00206197" w:rsidRPr="008F008F">
        <w:rPr>
          <w:rFonts w:ascii="Times New Roman" w:hAnsi="Times New Roman" w:cs="Times New Roman"/>
          <w:b/>
          <w:bCs/>
          <w:sz w:val="24"/>
          <w:szCs w:val="24"/>
        </w:rPr>
        <w:t>/</w:t>
      </w:r>
      <w:r w:rsidR="00F01B53">
        <w:rPr>
          <w:rFonts w:ascii="Times New Roman" w:hAnsi="Times New Roman" w:cs="Times New Roman"/>
          <w:b/>
          <w:bCs/>
          <w:sz w:val="24"/>
          <w:szCs w:val="24"/>
        </w:rPr>
        <w:t>4</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lastRenderedPageBreak/>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w:t>
      </w:r>
      <w:r w:rsidRPr="00764EE5">
        <w:rPr>
          <w:rFonts w:cs="Times New Roman"/>
        </w:rPr>
        <w:lastRenderedPageBreak/>
        <w:t>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6"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6"/>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660B0CCC" w:rsidR="00DF2C7A" w:rsidRDefault="00F165E1" w:rsidP="00C46ABB">
            <w:pPr>
              <w:pStyle w:val="Stopka"/>
              <w:jc w:val="right"/>
            </w:pPr>
            <w:r>
              <w:rPr>
                <w:noProof/>
              </w:rPr>
              <w:drawing>
                <wp:anchor distT="0" distB="0" distL="114300" distR="114300" simplePos="0" relativeHeight="251679744" behindDoc="1" locked="0" layoutInCell="1" allowOverlap="1" wp14:anchorId="773BEEE1" wp14:editId="643AFE60">
                  <wp:simplePos x="0" y="0"/>
                  <wp:positionH relativeFrom="margin">
                    <wp:posOffset>38100</wp:posOffset>
                  </wp:positionH>
                  <wp:positionV relativeFrom="paragraph">
                    <wp:posOffset>60325</wp:posOffset>
                  </wp:positionV>
                  <wp:extent cx="5715000" cy="93980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3980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2746E6A5"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9048A7"/>
    <w:multiLevelType w:val="hybridMultilevel"/>
    <w:tmpl w:val="F85E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17"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54886423">
    <w:abstractNumId w:val="4"/>
  </w:num>
  <w:num w:numId="2" w16cid:durableId="1826697717">
    <w:abstractNumId w:val="2"/>
  </w:num>
  <w:num w:numId="3" w16cid:durableId="1902016284">
    <w:abstractNumId w:val="0"/>
  </w:num>
  <w:num w:numId="4" w16cid:durableId="745567886">
    <w:abstractNumId w:val="9"/>
  </w:num>
  <w:num w:numId="5" w16cid:durableId="1311013426">
    <w:abstractNumId w:val="18"/>
  </w:num>
  <w:num w:numId="6" w16cid:durableId="1427113107">
    <w:abstractNumId w:val="5"/>
  </w:num>
  <w:num w:numId="7" w16cid:durableId="1449660603">
    <w:abstractNumId w:val="13"/>
  </w:num>
  <w:num w:numId="8" w16cid:durableId="1279678821">
    <w:abstractNumId w:val="10"/>
  </w:num>
  <w:num w:numId="9" w16cid:durableId="587269522">
    <w:abstractNumId w:val="1"/>
  </w:num>
  <w:num w:numId="10" w16cid:durableId="838161246">
    <w:abstractNumId w:val="16"/>
  </w:num>
  <w:num w:numId="11" w16cid:durableId="1399743737">
    <w:abstractNumId w:val="12"/>
  </w:num>
  <w:num w:numId="12" w16cid:durableId="273943909">
    <w:abstractNumId w:val="6"/>
  </w:num>
  <w:num w:numId="13" w16cid:durableId="1376345672">
    <w:abstractNumId w:val="21"/>
  </w:num>
  <w:num w:numId="14" w16cid:durableId="1473910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4"/>
  </w:num>
  <w:num w:numId="17" w16cid:durableId="27802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7"/>
  </w:num>
  <w:num w:numId="19" w16cid:durableId="1538196845">
    <w:abstractNumId w:val="17"/>
  </w:num>
  <w:num w:numId="20" w16cid:durableId="1421370721">
    <w:abstractNumId w:val="20"/>
  </w:num>
  <w:num w:numId="21" w16cid:durableId="1509325093">
    <w:abstractNumId w:val="19"/>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2"/>
  </w:num>
  <w:num w:numId="25" w16cid:durableId="902331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4"/>
  </w:num>
  <w:num w:numId="27" w16cid:durableId="1994136545">
    <w:abstractNumId w:val="8"/>
  </w:num>
  <w:num w:numId="28" w16cid:durableId="205850396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F3C0F"/>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1F74"/>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41D5"/>
    <w:rsid w:val="0045689E"/>
    <w:rsid w:val="0045732B"/>
    <w:rsid w:val="00460F1D"/>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D7C83"/>
    <w:rsid w:val="006D7E86"/>
    <w:rsid w:val="006E1577"/>
    <w:rsid w:val="006E30CF"/>
    <w:rsid w:val="006E4687"/>
    <w:rsid w:val="006E4806"/>
    <w:rsid w:val="006E48F2"/>
    <w:rsid w:val="006F2EBE"/>
    <w:rsid w:val="006F7A47"/>
    <w:rsid w:val="00702E9A"/>
    <w:rsid w:val="0070488B"/>
    <w:rsid w:val="00713211"/>
    <w:rsid w:val="0071363D"/>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A6FAA"/>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1FB1"/>
    <w:rsid w:val="008558FD"/>
    <w:rsid w:val="00857AC2"/>
    <w:rsid w:val="00864E91"/>
    <w:rsid w:val="008677CC"/>
    <w:rsid w:val="008678C8"/>
    <w:rsid w:val="0087045C"/>
    <w:rsid w:val="008708BB"/>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B53"/>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06186696">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258298444">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509493320">
      <w:bodyDiv w:val="1"/>
      <w:marLeft w:val="0"/>
      <w:marRight w:val="0"/>
      <w:marTop w:val="0"/>
      <w:marBottom w:val="0"/>
      <w:divBdr>
        <w:top w:val="none" w:sz="0" w:space="0" w:color="auto"/>
        <w:left w:val="none" w:sz="0" w:space="0" w:color="auto"/>
        <w:bottom w:val="none" w:sz="0" w:space="0" w:color="auto"/>
        <w:right w:val="none" w:sz="0" w:space="0" w:color="auto"/>
      </w:divBdr>
    </w:div>
    <w:div w:id="756562212">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006908415">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3.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35F4C-C3C7-4126-858B-89A95B3E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2938</Words>
  <Characters>17629</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12</cp:revision>
  <cp:lastPrinted>2022-09-15T09:37:00Z</cp:lastPrinted>
  <dcterms:created xsi:type="dcterms:W3CDTF">2022-10-04T13:35:00Z</dcterms:created>
  <dcterms:modified xsi:type="dcterms:W3CDTF">2022-10-06T06:37:00Z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