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281FA352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10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0</w:t>
      </w:r>
      <w:r w:rsidR="00C23E5E">
        <w:rPr>
          <w:rFonts w:ascii="Times New Roman" w:hAnsi="Times New Roman" w:cs="Times New Roman"/>
          <w:b/>
          <w:sz w:val="24"/>
          <w:szCs w:val="24"/>
        </w:rPr>
        <w:t>6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B008BC">
        <w:rPr>
          <w:rFonts w:ascii="Times New Roman" w:hAnsi="Times New Roman" w:cs="Times New Roman"/>
          <w:b/>
          <w:sz w:val="24"/>
          <w:szCs w:val="24"/>
        </w:rPr>
        <w:t>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65166AB6">
          <wp:simplePos x="0" y="0"/>
          <wp:positionH relativeFrom="column">
            <wp:posOffset>122555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7D343D3F" w:rsidR="006E4687" w:rsidRPr="00182F70" w:rsidRDefault="00FA3F3C" w:rsidP="00182F70">
    <w:pPr>
      <w:pStyle w:val="Nagwek"/>
    </w:pPr>
    <w:r w:rsidRPr="00FA3F3C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9504" behindDoc="1" locked="0" layoutInCell="1" allowOverlap="1" wp14:anchorId="581E91D9" wp14:editId="34468781">
          <wp:simplePos x="0" y="0"/>
          <wp:positionH relativeFrom="margin">
            <wp:posOffset>266700</wp:posOffset>
          </wp:positionH>
          <wp:positionV relativeFrom="page">
            <wp:posOffset>436245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05DB4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23E5E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  <w:rsid w:val="00F8577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Marcin Kowalski</cp:lastModifiedBy>
  <cp:revision>20</cp:revision>
  <dcterms:created xsi:type="dcterms:W3CDTF">2021-10-21T12:55:00Z</dcterms:created>
  <dcterms:modified xsi:type="dcterms:W3CDTF">2022-10-05T12:59:00Z</dcterms:modified>
</cp:coreProperties>
</file>